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2180"/>
        <w:gridCol w:w="3640"/>
      </w:tblGrid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Mary Jane </w:t>
            </w:r>
            <w:proofErr w:type="spellStart"/>
            <w:r w:rsidRPr="006E30F9">
              <w:t>Esplen</w:t>
            </w:r>
            <w:proofErr w:type="spellEnd"/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CHAIR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Upton Allen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proofErr w:type="spellStart"/>
            <w:r w:rsidRPr="006E30F9">
              <w:t>Paediatrics</w:t>
            </w:r>
            <w:proofErr w:type="spellEnd"/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Ana </w:t>
            </w:r>
            <w:proofErr w:type="spellStart"/>
            <w:r w:rsidRPr="006E30F9">
              <w:t>Andreazza</w:t>
            </w:r>
            <w:proofErr w:type="spellEnd"/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Pharmacology and Toxicology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Christine Bear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Physiology/Biochemistry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Dina Brooks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Physical Therapy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George </w:t>
            </w:r>
            <w:proofErr w:type="spellStart"/>
            <w:r w:rsidRPr="006E30F9">
              <w:t>Djaiani</w:t>
            </w:r>
            <w:proofErr w:type="spellEnd"/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Anesthesia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Karen Gordon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Otolaryngology/SLP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Cynthia Hawkins  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LMP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Ruth Heisey 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DFCM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David Hodgson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Radiation Oncology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Nasir Jaffer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Medical Imaging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Moira Kapral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Medicine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Philip Kim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Donnelly Centre/Molecular Genetics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Eric </w:t>
            </w:r>
            <w:proofErr w:type="spellStart"/>
            <w:r w:rsidRPr="006E30F9">
              <w:t>Letovsky</w:t>
            </w:r>
            <w:proofErr w:type="spellEnd"/>
            <w:r w:rsidRPr="006E30F9">
              <w:t xml:space="preserve"> 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DFCM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David McCready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Surgery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Tracy McGaha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Immunology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Michael </w:t>
            </w:r>
            <w:proofErr w:type="spellStart"/>
            <w:r w:rsidRPr="006E30F9">
              <w:t>Ohh</w:t>
            </w:r>
            <w:proofErr w:type="spellEnd"/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LMP/Biochemistry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Helene Polatajko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OS/OT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Frederick Roth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Donnelly Centre/Molecular Genetics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Gareth Seaward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OBGYN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Ivan Silver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Psychiatry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Andrew Spence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Molecular Genetics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Valerie Tarasuk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Nutritional Sciences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 xml:space="preserve">Elizabeth </w:t>
            </w:r>
            <w:proofErr w:type="spellStart"/>
            <w:r w:rsidRPr="006E30F9">
              <w:t>Tullis</w:t>
            </w:r>
            <w:proofErr w:type="spellEnd"/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Medicine</w:t>
            </w:r>
          </w:p>
        </w:tc>
      </w:tr>
      <w:tr w:rsidR="006E30F9" w:rsidRPr="006E30F9" w:rsidTr="006E30F9">
        <w:trPr>
          <w:trHeight w:val="300"/>
        </w:trPr>
        <w:tc>
          <w:tcPr>
            <w:tcW w:w="2180" w:type="dxa"/>
            <w:noWrap/>
            <w:hideMark/>
          </w:tcPr>
          <w:p w:rsidR="006E30F9" w:rsidRPr="006E30F9" w:rsidRDefault="006E30F9" w:rsidP="006E30F9">
            <w:r w:rsidRPr="006E30F9">
              <w:t>Alex Vitkin</w:t>
            </w:r>
          </w:p>
        </w:tc>
        <w:tc>
          <w:tcPr>
            <w:tcW w:w="3640" w:type="dxa"/>
            <w:noWrap/>
            <w:hideMark/>
          </w:tcPr>
          <w:p w:rsidR="006E30F9" w:rsidRPr="006E30F9" w:rsidRDefault="006E30F9" w:rsidP="006E30F9">
            <w:r w:rsidRPr="006E30F9">
              <w:t>Medical Biophysics/Radiation Oncology</w:t>
            </w:r>
          </w:p>
        </w:tc>
      </w:tr>
    </w:tbl>
    <w:p w:rsidR="00922B62" w:rsidRPr="006E30F9" w:rsidRDefault="00CF1C74" w:rsidP="006E30F9">
      <w:pPr>
        <w:jc w:val="center"/>
        <w:rPr>
          <w:b/>
        </w:rPr>
      </w:pPr>
      <w:r>
        <w:rPr>
          <w:b/>
        </w:rPr>
        <w:t>DECANAL PROMOTION</w:t>
      </w:r>
      <w:r w:rsidR="006E30F9" w:rsidRPr="006E30F9">
        <w:rPr>
          <w:b/>
        </w:rPr>
        <w:t xml:space="preserve"> CO</w:t>
      </w:r>
      <w:bookmarkStart w:id="0" w:name="_GoBack"/>
      <w:bookmarkEnd w:id="0"/>
      <w:r w:rsidR="006E30F9" w:rsidRPr="006E30F9">
        <w:rPr>
          <w:b/>
        </w:rPr>
        <w:t>MMITTEE 2018</w:t>
      </w:r>
    </w:p>
    <w:sectPr w:rsidR="00922B62" w:rsidRPr="006E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9"/>
    <w:rsid w:val="006E30F9"/>
    <w:rsid w:val="00922B62"/>
    <w:rsid w:val="00C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2018-01-26T22:03:00Z</dcterms:created>
  <dcterms:modified xsi:type="dcterms:W3CDTF">2018-01-26T22:06:00Z</dcterms:modified>
</cp:coreProperties>
</file>