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75" w:type="dxa"/>
        <w:tblBorders>
          <w:top w:val="single" w:sz="6" w:space="0" w:color="CCCCCC"/>
          <w:left w:val="single" w:sz="6" w:space="0" w:color="CCCCCC"/>
          <w:bottom w:val="single" w:sz="6" w:space="0" w:color="CCCCCC"/>
          <w:right w:val="single" w:sz="6" w:space="0" w:color="CCCCCC"/>
        </w:tblBorders>
        <w:shd w:val="clear" w:color="auto" w:fill="FFFFFF"/>
        <w:tblCellMar>
          <w:top w:w="75" w:type="dxa"/>
          <w:left w:w="75" w:type="dxa"/>
          <w:bottom w:w="75" w:type="dxa"/>
          <w:right w:w="75" w:type="dxa"/>
        </w:tblCellMar>
        <w:tblLook w:val="04A0" w:firstRow="1" w:lastRow="0" w:firstColumn="1" w:lastColumn="0" w:noHBand="0" w:noVBand="1"/>
      </w:tblPr>
      <w:tblGrid>
        <w:gridCol w:w="9810"/>
      </w:tblGrid>
      <w:tr w:rsidR="00D71730" w:rsidTr="00D71730">
        <w:trPr>
          <w:tblCellSpacing w:w="75" w:type="dxa"/>
          <w:jc w:val="center"/>
        </w:trPr>
        <w:tc>
          <w:tcPr>
            <w:tcW w:w="0" w:type="auto"/>
            <w:tcBorders>
              <w:top w:val="nil"/>
              <w:left w:val="nil"/>
              <w:bottom w:val="nil"/>
              <w:right w:val="nil"/>
            </w:tcBorders>
            <w:shd w:val="clear" w:color="auto" w:fill="FFFFFF"/>
            <w:vAlign w:val="center"/>
            <w:hideMark/>
          </w:tcPr>
          <w:p w:rsidR="00D71730" w:rsidRDefault="00D71730">
            <w:pPr>
              <w:rPr>
                <w:rFonts w:ascii="Helvetica" w:eastAsia="Times New Roman" w:hAnsi="Helvetica" w:cs="Helvetica"/>
              </w:rPr>
            </w:pPr>
            <w:r>
              <w:rPr>
                <w:rFonts w:ascii="Helvetica" w:eastAsia="Times New Roman" w:hAnsi="Helvetica" w:cs="Helvetica"/>
                <w:noProof/>
              </w:rPr>
              <w:drawing>
                <wp:inline distT="0" distB="0" distL="0" distR="0" wp14:anchorId="501F83B0" wp14:editId="640BCBFB">
                  <wp:extent cx="6067425" cy="952500"/>
                  <wp:effectExtent l="0" t="0" r="9525" b="0"/>
                  <wp:docPr id="1" name="Picture 1" descr="Logo and Title for the University of Toronto's Research Ale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nd Title for the University of Toronto's Research Aler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67425" cy="952500"/>
                          </a:xfrm>
                          <a:prstGeom prst="rect">
                            <a:avLst/>
                          </a:prstGeom>
                          <a:noFill/>
                          <a:ln>
                            <a:noFill/>
                          </a:ln>
                        </pic:spPr>
                      </pic:pic>
                    </a:graphicData>
                  </a:graphic>
                </wp:inline>
              </w:drawing>
            </w:r>
          </w:p>
        </w:tc>
      </w:tr>
      <w:tr w:rsidR="00D71730" w:rsidTr="00D71730">
        <w:trPr>
          <w:tblCellSpacing w:w="75" w:type="dxa"/>
          <w:jc w:val="center"/>
        </w:trPr>
        <w:tc>
          <w:tcPr>
            <w:tcW w:w="0" w:type="auto"/>
            <w:tcBorders>
              <w:top w:val="single" w:sz="6" w:space="0" w:color="CCCCCC"/>
              <w:left w:val="nil"/>
              <w:bottom w:val="nil"/>
              <w:right w:val="nil"/>
            </w:tcBorders>
            <w:shd w:val="clear" w:color="auto" w:fill="FFFFFF"/>
            <w:vAlign w:val="center"/>
            <w:hideMark/>
          </w:tcPr>
          <w:p w:rsidR="00D71730" w:rsidRDefault="00D71730">
            <w:pPr>
              <w:outlineLvl w:val="2"/>
              <w:rPr>
                <w:rFonts w:ascii="Helvetica" w:eastAsia="Times New Roman" w:hAnsi="Helvetica" w:cs="Helvetica"/>
                <w:b/>
                <w:bCs/>
                <w:sz w:val="36"/>
                <w:szCs w:val="36"/>
              </w:rPr>
            </w:pPr>
            <w:r>
              <w:rPr>
                <w:rFonts w:ascii="Helvetica" w:eastAsia="Times New Roman" w:hAnsi="Helvetica" w:cs="Helvetica"/>
                <w:b/>
                <w:bCs/>
                <w:sz w:val="36"/>
                <w:szCs w:val="36"/>
              </w:rPr>
              <w:t>Update on CIHR 2016 Fall Project and Foundation Grant timelines and Peer Review Working Group Recommendations</w:t>
            </w:r>
          </w:p>
          <w:p w:rsidR="00D71730" w:rsidRDefault="00D71730">
            <w:pPr>
              <w:spacing w:before="75" w:after="75"/>
              <w:rPr>
                <w:rFonts w:ascii="Helvetica" w:hAnsi="Helvetica" w:cs="Helvetica"/>
                <w:i/>
                <w:iCs/>
                <w:color w:val="999999"/>
              </w:rPr>
            </w:pPr>
            <w:r>
              <w:rPr>
                <w:rFonts w:ascii="Helvetica" w:hAnsi="Helvetica" w:cs="Helvetica"/>
                <w:i/>
                <w:iCs/>
                <w:color w:val="999999"/>
              </w:rPr>
              <w:t xml:space="preserve">August 17, 2016 • Reply to </w:t>
            </w:r>
            <w:hyperlink r:id="rId7" w:history="1">
              <w:r>
                <w:rPr>
                  <w:rStyle w:val="Hyperlink"/>
                  <w:rFonts w:ascii="Helvetica" w:hAnsi="Helvetica" w:cs="Helvetica"/>
                  <w:i/>
                  <w:iCs/>
                </w:rPr>
                <w:t xml:space="preserve">Drew Gyorke </w:t>
              </w:r>
            </w:hyperlink>
          </w:p>
        </w:tc>
      </w:tr>
      <w:tr w:rsidR="00D71730" w:rsidTr="00D71730">
        <w:trPr>
          <w:tblCellSpacing w:w="75" w:type="dxa"/>
          <w:jc w:val="center"/>
        </w:trPr>
        <w:tc>
          <w:tcPr>
            <w:tcW w:w="0" w:type="auto"/>
            <w:tcBorders>
              <w:top w:val="nil"/>
              <w:left w:val="nil"/>
              <w:bottom w:val="nil"/>
              <w:right w:val="nil"/>
            </w:tcBorders>
            <w:shd w:val="clear" w:color="auto" w:fill="FFFFFF"/>
            <w:vAlign w:val="center"/>
            <w:hideMark/>
          </w:tcPr>
          <w:p w:rsidR="00D71730" w:rsidRDefault="00D71730">
            <w:pPr>
              <w:spacing w:after="150" w:line="300" w:lineRule="auto"/>
              <w:rPr>
                <w:rFonts w:ascii="Helvetica" w:hAnsi="Helvetica" w:cs="Helvetica"/>
                <w:color w:val="333333"/>
                <w:sz w:val="27"/>
                <w:szCs w:val="27"/>
              </w:rPr>
            </w:pPr>
            <w:r>
              <w:rPr>
                <w:rStyle w:val="Strong"/>
                <w:rFonts w:ascii="Helvetica" w:hAnsi="Helvetica" w:cs="Helvetica"/>
                <w:color w:val="333333"/>
                <w:sz w:val="27"/>
                <w:szCs w:val="27"/>
              </w:rPr>
              <w:t>A message from the Vice-President, Research and Innovation to the University of Toronto’s CIHR Community:</w:t>
            </w:r>
          </w:p>
          <w:p w:rsidR="00D71730" w:rsidRDefault="00D71730">
            <w:pPr>
              <w:spacing w:after="150" w:line="300" w:lineRule="auto"/>
              <w:rPr>
                <w:rFonts w:ascii="Helvetica" w:hAnsi="Helvetica" w:cs="Helvetica"/>
                <w:color w:val="333333"/>
                <w:sz w:val="27"/>
                <w:szCs w:val="27"/>
              </w:rPr>
            </w:pPr>
            <w:r>
              <w:rPr>
                <w:rFonts w:ascii="Helvetica" w:hAnsi="Helvetica" w:cs="Helvetica"/>
                <w:color w:val="333333"/>
                <w:sz w:val="27"/>
                <w:szCs w:val="27"/>
              </w:rPr>
              <w:t xml:space="preserve">The Chair of CIHR’s Peer Review Working Group, Dr. Paul </w:t>
            </w:r>
            <w:proofErr w:type="spellStart"/>
            <w:r>
              <w:rPr>
                <w:rFonts w:ascii="Helvetica" w:hAnsi="Helvetica" w:cs="Helvetica"/>
                <w:color w:val="333333"/>
                <w:sz w:val="27"/>
                <w:szCs w:val="27"/>
              </w:rPr>
              <w:t>Kubes</w:t>
            </w:r>
            <w:proofErr w:type="spellEnd"/>
            <w:r>
              <w:rPr>
                <w:rFonts w:ascii="Helvetica" w:hAnsi="Helvetica" w:cs="Helvetica"/>
                <w:color w:val="333333"/>
                <w:sz w:val="27"/>
                <w:szCs w:val="27"/>
              </w:rPr>
              <w:t xml:space="preserve">, has issued a </w:t>
            </w:r>
            <w:hyperlink r:id="rId8" w:history="1">
              <w:r>
                <w:rPr>
                  <w:rStyle w:val="Hyperlink"/>
                  <w:rFonts w:ascii="Helvetica" w:hAnsi="Helvetica" w:cs="Helvetica"/>
                  <w:sz w:val="27"/>
                  <w:szCs w:val="27"/>
                </w:rPr>
                <w:t>second update</w:t>
              </w:r>
            </w:hyperlink>
            <w:r>
              <w:rPr>
                <w:rFonts w:ascii="Helvetica" w:hAnsi="Helvetica" w:cs="Helvetica"/>
                <w:color w:val="333333"/>
                <w:sz w:val="27"/>
                <w:szCs w:val="27"/>
              </w:rPr>
              <w:t xml:space="preserve"> identifying the anticipated </w:t>
            </w:r>
            <w:hyperlink r:id="rId9" w:history="1">
              <w:r>
                <w:rPr>
                  <w:rStyle w:val="Hyperlink"/>
                  <w:rFonts w:ascii="Helvetica" w:hAnsi="Helvetica" w:cs="Helvetica"/>
                  <w:sz w:val="27"/>
                  <w:szCs w:val="27"/>
                </w:rPr>
                <w:t>dates for the Fall 2016 Project Grant and Foundation Grant competitions</w:t>
              </w:r>
            </w:hyperlink>
            <w:r>
              <w:rPr>
                <w:rFonts w:ascii="Helvetica" w:hAnsi="Helvetica" w:cs="Helvetica"/>
                <w:color w:val="333333"/>
                <w:sz w:val="27"/>
                <w:szCs w:val="27"/>
              </w:rPr>
              <w:t xml:space="preserve">, which I have also noted below.   Both funding opportunities will be available on </w:t>
            </w:r>
            <w:proofErr w:type="spellStart"/>
            <w:r>
              <w:rPr>
                <w:rFonts w:ascii="Helvetica" w:hAnsi="Helvetica" w:cs="Helvetica"/>
                <w:color w:val="333333"/>
                <w:sz w:val="27"/>
                <w:szCs w:val="27"/>
              </w:rPr>
              <w:t>ResearchNet</w:t>
            </w:r>
            <w:proofErr w:type="spellEnd"/>
            <w:r>
              <w:rPr>
                <w:rFonts w:ascii="Helvetica" w:hAnsi="Helvetica" w:cs="Helvetica"/>
                <w:color w:val="333333"/>
                <w:sz w:val="27"/>
                <w:szCs w:val="27"/>
              </w:rPr>
              <w:t xml:space="preserve"> during the week of August 29, 2016.</w:t>
            </w:r>
          </w:p>
          <w:p w:rsidR="00D71730" w:rsidRDefault="00D71730">
            <w:pPr>
              <w:spacing w:after="150" w:line="300" w:lineRule="auto"/>
              <w:rPr>
                <w:rFonts w:ascii="Helvetica" w:hAnsi="Helvetica" w:cs="Helvetica"/>
                <w:color w:val="333333"/>
                <w:sz w:val="27"/>
                <w:szCs w:val="27"/>
              </w:rPr>
            </w:pPr>
            <w:r>
              <w:rPr>
                <w:rFonts w:ascii="Helvetica" w:hAnsi="Helvetica" w:cs="Helvetica"/>
                <w:color w:val="333333"/>
                <w:sz w:val="27"/>
                <w:szCs w:val="27"/>
              </w:rPr>
              <w:t>The Committee continues its work on how the stages of review will operate for the Project Grant fall competition. As noted previously, there is little change for the Foundation Grant program this round.  All of the outcomes from CIHR’s July 13</w:t>
            </w:r>
            <w:r>
              <w:rPr>
                <w:rFonts w:ascii="Helvetica" w:hAnsi="Helvetica" w:cs="Helvetica"/>
                <w:color w:val="333333"/>
                <w:sz w:val="27"/>
                <w:szCs w:val="27"/>
                <w:vertAlign w:val="superscript"/>
              </w:rPr>
              <w:t>th</w:t>
            </w:r>
            <w:r>
              <w:rPr>
                <w:rFonts w:ascii="Helvetica" w:hAnsi="Helvetica" w:cs="Helvetica"/>
                <w:color w:val="333333"/>
                <w:sz w:val="27"/>
                <w:szCs w:val="27"/>
              </w:rPr>
              <w:t xml:space="preserve"> Working Meeting and the recommendations from the Peer Review Working Group are now available in a </w:t>
            </w:r>
            <w:hyperlink r:id="rId10" w:history="1">
              <w:r>
                <w:rPr>
                  <w:rStyle w:val="Hyperlink"/>
                  <w:rFonts w:ascii="Helvetica" w:hAnsi="Helvetica" w:cs="Helvetica"/>
                  <w:sz w:val="27"/>
                  <w:szCs w:val="27"/>
                </w:rPr>
                <w:t>Recommendations Summary Table</w:t>
              </w:r>
            </w:hyperlink>
            <w:r>
              <w:rPr>
                <w:rFonts w:ascii="Helvetica" w:hAnsi="Helvetica" w:cs="Helvetica"/>
                <w:color w:val="333333"/>
                <w:sz w:val="27"/>
                <w:szCs w:val="27"/>
              </w:rPr>
              <w:t xml:space="preserve">.   In this recent update, Dr. </w:t>
            </w:r>
            <w:proofErr w:type="spellStart"/>
            <w:r>
              <w:rPr>
                <w:rFonts w:ascii="Helvetica" w:hAnsi="Helvetica" w:cs="Helvetica"/>
                <w:color w:val="333333"/>
                <w:sz w:val="27"/>
                <w:szCs w:val="27"/>
              </w:rPr>
              <w:t>Kubes</w:t>
            </w:r>
            <w:proofErr w:type="spellEnd"/>
            <w:r>
              <w:rPr>
                <w:rFonts w:ascii="Helvetica" w:hAnsi="Helvetica" w:cs="Helvetica"/>
                <w:color w:val="333333"/>
                <w:sz w:val="27"/>
                <w:szCs w:val="27"/>
              </w:rPr>
              <w:t xml:space="preserve"> notes that the Working Group agreed with the recommendation that 40 percent of applications move from Stage 1 to Stage 2 with the details on how the peer review process will work still under discussion. </w:t>
            </w:r>
          </w:p>
          <w:p w:rsidR="00D71730" w:rsidRDefault="00D71730">
            <w:pPr>
              <w:spacing w:after="150" w:line="300" w:lineRule="auto"/>
              <w:rPr>
                <w:rFonts w:ascii="Helvetica" w:hAnsi="Helvetica" w:cs="Helvetica"/>
                <w:color w:val="333333"/>
                <w:sz w:val="27"/>
                <w:szCs w:val="27"/>
              </w:rPr>
            </w:pPr>
            <w:r>
              <w:rPr>
                <w:rFonts w:ascii="Helvetica" w:hAnsi="Helvetica" w:cs="Helvetica"/>
                <w:color w:val="333333"/>
                <w:sz w:val="27"/>
                <w:szCs w:val="27"/>
              </w:rPr>
              <w:t>Once again, I encourage those who wish to offer constructive feedback on how to implement the recommendations to write to the Chair (</w:t>
            </w:r>
            <w:hyperlink r:id="rId11" w:history="1">
              <w:r>
                <w:rPr>
                  <w:rStyle w:val="Hyperlink"/>
                  <w:rFonts w:ascii="Helvetica" w:hAnsi="Helvetica" w:cs="Helvetica"/>
                  <w:sz w:val="27"/>
                  <w:szCs w:val="27"/>
                </w:rPr>
                <w:t>pkubes@ucalgary.ca</w:t>
              </w:r>
            </w:hyperlink>
            <w:proofErr w:type="gramStart"/>
            <w:r>
              <w:rPr>
                <w:rFonts w:ascii="Helvetica" w:hAnsi="Helvetica" w:cs="Helvetica"/>
                <w:color w:val="333333"/>
                <w:sz w:val="27"/>
                <w:szCs w:val="27"/>
              </w:rPr>
              <w:t>)  and</w:t>
            </w:r>
            <w:proofErr w:type="gramEnd"/>
            <w:r>
              <w:rPr>
                <w:rFonts w:ascii="Helvetica" w:hAnsi="Helvetica" w:cs="Helvetica"/>
                <w:color w:val="333333"/>
                <w:sz w:val="27"/>
                <w:szCs w:val="27"/>
              </w:rPr>
              <w:t xml:space="preserve"> to copy me (</w:t>
            </w:r>
            <w:hyperlink r:id="rId12" w:history="1">
              <w:r>
                <w:rPr>
                  <w:rStyle w:val="Hyperlink"/>
                  <w:rFonts w:ascii="Helvetica" w:hAnsi="Helvetica" w:cs="Helvetica"/>
                  <w:sz w:val="27"/>
                  <w:szCs w:val="27"/>
                </w:rPr>
                <w:t>vp.research@utoronto.ca</w:t>
              </w:r>
            </w:hyperlink>
            <w:r>
              <w:rPr>
                <w:rFonts w:ascii="Helvetica" w:hAnsi="Helvetica" w:cs="Helvetica"/>
                <w:color w:val="333333"/>
                <w:sz w:val="27"/>
                <w:szCs w:val="27"/>
              </w:rPr>
              <w:t xml:space="preserve">) in your correspondence with him.  My office continues to monitor the Working Group’s efforts and will update you with additional information as soon as it becomes </w:t>
            </w:r>
            <w:r>
              <w:rPr>
                <w:rFonts w:ascii="Helvetica" w:hAnsi="Helvetica" w:cs="Helvetica"/>
                <w:color w:val="333333"/>
                <w:sz w:val="27"/>
                <w:szCs w:val="27"/>
              </w:rPr>
              <w:lastRenderedPageBreak/>
              <w:t>available.</w:t>
            </w:r>
          </w:p>
          <w:p w:rsidR="00D71730" w:rsidRDefault="00D71730">
            <w:pPr>
              <w:spacing w:after="150" w:line="300" w:lineRule="auto"/>
              <w:rPr>
                <w:rFonts w:ascii="Helvetica" w:hAnsi="Helvetica" w:cs="Helvetica"/>
                <w:color w:val="333333"/>
                <w:sz w:val="27"/>
                <w:szCs w:val="27"/>
              </w:rPr>
            </w:pPr>
            <w:r>
              <w:rPr>
                <w:rFonts w:ascii="Helvetica" w:hAnsi="Helvetica" w:cs="Helvetica"/>
                <w:color w:val="333333"/>
                <w:sz w:val="27"/>
                <w:szCs w:val="27"/>
              </w:rPr>
              <w:t> </w:t>
            </w:r>
          </w:p>
          <w:p w:rsidR="00D71730" w:rsidRDefault="00D71730">
            <w:pPr>
              <w:spacing w:after="150" w:line="300" w:lineRule="auto"/>
              <w:rPr>
                <w:rFonts w:ascii="Helvetica" w:hAnsi="Helvetica" w:cs="Helvetica"/>
                <w:color w:val="333333"/>
                <w:sz w:val="27"/>
                <w:szCs w:val="27"/>
              </w:rPr>
            </w:pPr>
            <w:r>
              <w:rPr>
                <w:rStyle w:val="Strong"/>
                <w:rFonts w:ascii="Helvetica" w:hAnsi="Helvetica" w:cs="Helvetica"/>
                <w:color w:val="333333"/>
                <w:sz w:val="27"/>
                <w:szCs w:val="27"/>
              </w:rPr>
              <w:t>Fall 2016 Project and Foundation Grant timelines:</w:t>
            </w:r>
            <w:r>
              <w:rPr>
                <w:rFonts w:ascii="Helvetica" w:hAnsi="Helvetica" w:cs="Helvetica"/>
                <w:color w:val="333333"/>
                <w:sz w:val="27"/>
                <w:szCs w:val="27"/>
              </w:rPr>
              <w:t> </w:t>
            </w:r>
          </w:p>
          <w:p w:rsidR="00D71730" w:rsidRDefault="00D71730">
            <w:pPr>
              <w:spacing w:after="150" w:line="300" w:lineRule="auto"/>
              <w:rPr>
                <w:rFonts w:ascii="Helvetica" w:hAnsi="Helvetica" w:cs="Helvetica"/>
                <w:color w:val="333333"/>
                <w:sz w:val="27"/>
                <w:szCs w:val="27"/>
              </w:rPr>
            </w:pPr>
            <w:r>
              <w:rPr>
                <w:rFonts w:ascii="Helvetica" w:hAnsi="Helvetica" w:cs="Helvetica"/>
                <w:color w:val="333333"/>
                <w:sz w:val="27"/>
                <w:szCs w:val="27"/>
              </w:rPr>
              <w:t> </w:t>
            </w:r>
          </w:p>
          <w:p w:rsidR="00D71730" w:rsidRDefault="00D71730">
            <w:pPr>
              <w:spacing w:after="150" w:line="300" w:lineRule="auto"/>
              <w:rPr>
                <w:rFonts w:ascii="Helvetica" w:hAnsi="Helvetica" w:cs="Helvetica"/>
                <w:color w:val="333333"/>
                <w:sz w:val="27"/>
                <w:szCs w:val="27"/>
              </w:rPr>
            </w:pPr>
            <w:r>
              <w:rPr>
                <w:rStyle w:val="Strong"/>
                <w:rFonts w:ascii="Helvetica" w:hAnsi="Helvetica" w:cs="Helvetica"/>
                <w:color w:val="333333"/>
                <w:sz w:val="27"/>
                <w:szCs w:val="27"/>
              </w:rPr>
              <w:t>Foundation Grant:</w:t>
            </w:r>
          </w:p>
          <w:p w:rsidR="00D71730" w:rsidRDefault="00D71730" w:rsidP="00EA2950">
            <w:pPr>
              <w:numPr>
                <w:ilvl w:val="0"/>
                <w:numId w:val="1"/>
              </w:numPr>
              <w:spacing w:before="100" w:beforeAutospacing="1" w:after="100" w:afterAutospacing="1"/>
              <w:rPr>
                <w:rFonts w:ascii="Helvetica" w:eastAsia="Times New Roman" w:hAnsi="Helvetica" w:cs="Helvetica"/>
              </w:rPr>
            </w:pPr>
            <w:r>
              <w:rPr>
                <w:rFonts w:ascii="Helvetica" w:eastAsia="Times New Roman" w:hAnsi="Helvetica" w:cs="Helvetica"/>
              </w:rPr>
              <w:t>Registration:  August 30 to September 13</w:t>
            </w:r>
          </w:p>
          <w:p w:rsidR="00D71730" w:rsidRDefault="00D71730" w:rsidP="00EA2950">
            <w:pPr>
              <w:numPr>
                <w:ilvl w:val="0"/>
                <w:numId w:val="1"/>
              </w:numPr>
              <w:spacing w:before="100" w:beforeAutospacing="1" w:after="100" w:afterAutospacing="1"/>
              <w:rPr>
                <w:rFonts w:ascii="Helvetica" w:eastAsia="Times New Roman" w:hAnsi="Helvetica" w:cs="Helvetica"/>
              </w:rPr>
            </w:pPr>
            <w:r>
              <w:rPr>
                <w:rFonts w:ascii="Helvetica" w:eastAsia="Times New Roman" w:hAnsi="Helvetica" w:cs="Helvetica"/>
              </w:rPr>
              <w:t>Stage 1 Applications:  September 14 to October 13 (application is available the day after the registration deadline)</w:t>
            </w:r>
          </w:p>
          <w:p w:rsidR="00D71730" w:rsidRDefault="00D71730" w:rsidP="00EA2950">
            <w:pPr>
              <w:numPr>
                <w:ilvl w:val="0"/>
                <w:numId w:val="1"/>
              </w:numPr>
              <w:spacing w:before="100" w:beforeAutospacing="1" w:after="100" w:afterAutospacing="1"/>
              <w:rPr>
                <w:rFonts w:ascii="Helvetica" w:eastAsia="Times New Roman" w:hAnsi="Helvetica" w:cs="Helvetica"/>
              </w:rPr>
            </w:pPr>
            <w:r>
              <w:rPr>
                <w:rFonts w:ascii="Helvetica" w:eastAsia="Times New Roman" w:hAnsi="Helvetica" w:cs="Helvetica"/>
              </w:rPr>
              <w:t>Anticipated Funding start date: July 2017</w:t>
            </w:r>
          </w:p>
          <w:p w:rsidR="00D71730" w:rsidRDefault="00D71730">
            <w:pPr>
              <w:spacing w:after="150" w:line="300" w:lineRule="auto"/>
              <w:rPr>
                <w:rFonts w:ascii="Helvetica" w:hAnsi="Helvetica" w:cs="Helvetica"/>
                <w:color w:val="333333"/>
                <w:sz w:val="27"/>
                <w:szCs w:val="27"/>
              </w:rPr>
            </w:pPr>
            <w:r>
              <w:rPr>
                <w:rFonts w:ascii="Helvetica" w:hAnsi="Helvetica" w:cs="Helvetica"/>
                <w:color w:val="333333"/>
                <w:sz w:val="27"/>
                <w:szCs w:val="27"/>
              </w:rPr>
              <w:t> </w:t>
            </w:r>
          </w:p>
          <w:p w:rsidR="00D71730" w:rsidRDefault="00D71730">
            <w:pPr>
              <w:spacing w:after="150" w:line="300" w:lineRule="auto"/>
              <w:rPr>
                <w:rFonts w:ascii="Helvetica" w:hAnsi="Helvetica" w:cs="Helvetica"/>
                <w:color w:val="333333"/>
                <w:sz w:val="27"/>
                <w:szCs w:val="27"/>
              </w:rPr>
            </w:pPr>
            <w:r>
              <w:rPr>
                <w:rStyle w:val="Strong"/>
                <w:rFonts w:ascii="Helvetica" w:hAnsi="Helvetica" w:cs="Helvetica"/>
                <w:color w:val="333333"/>
                <w:sz w:val="27"/>
                <w:szCs w:val="27"/>
              </w:rPr>
              <w:t>Project Grant:</w:t>
            </w:r>
          </w:p>
          <w:p w:rsidR="00D71730" w:rsidRDefault="00D71730" w:rsidP="00EA2950">
            <w:pPr>
              <w:numPr>
                <w:ilvl w:val="0"/>
                <w:numId w:val="2"/>
              </w:numPr>
              <w:spacing w:before="100" w:beforeAutospacing="1" w:after="100" w:afterAutospacing="1"/>
              <w:rPr>
                <w:rFonts w:ascii="Helvetica" w:eastAsia="Times New Roman" w:hAnsi="Helvetica" w:cs="Helvetica"/>
              </w:rPr>
            </w:pPr>
            <w:r>
              <w:rPr>
                <w:rFonts w:ascii="Helvetica" w:eastAsia="Times New Roman" w:hAnsi="Helvetica" w:cs="Helvetica"/>
              </w:rPr>
              <w:t>Registration:  September 8 to September 20</w:t>
            </w:r>
            <w:r>
              <w:rPr>
                <w:rStyle w:val="Strong"/>
                <w:rFonts w:ascii="Helvetica" w:eastAsia="Times New Roman" w:hAnsi="Helvetica" w:cs="Helvetica"/>
              </w:rPr>
              <w:t> </w:t>
            </w:r>
          </w:p>
          <w:p w:rsidR="00D71730" w:rsidRDefault="00D71730" w:rsidP="00EA2950">
            <w:pPr>
              <w:numPr>
                <w:ilvl w:val="0"/>
                <w:numId w:val="2"/>
              </w:numPr>
              <w:spacing w:before="100" w:beforeAutospacing="1" w:after="100" w:afterAutospacing="1"/>
              <w:rPr>
                <w:rFonts w:ascii="Helvetica" w:eastAsia="Times New Roman" w:hAnsi="Helvetica" w:cs="Helvetica"/>
              </w:rPr>
            </w:pPr>
            <w:r>
              <w:rPr>
                <w:rFonts w:ascii="Helvetica" w:eastAsia="Times New Roman" w:hAnsi="Helvetica" w:cs="Helvetica"/>
              </w:rPr>
              <w:t>Applications:  September 8 to October 18 (application is available as soon as the registration is submitted)</w:t>
            </w:r>
            <w:r>
              <w:rPr>
                <w:rStyle w:val="Strong"/>
                <w:rFonts w:ascii="Helvetica" w:eastAsia="Times New Roman" w:hAnsi="Helvetica" w:cs="Helvetica"/>
              </w:rPr>
              <w:t> </w:t>
            </w:r>
          </w:p>
          <w:p w:rsidR="00D71730" w:rsidRDefault="00D71730" w:rsidP="00EA2950">
            <w:pPr>
              <w:numPr>
                <w:ilvl w:val="0"/>
                <w:numId w:val="2"/>
              </w:numPr>
              <w:spacing w:before="100" w:beforeAutospacing="1" w:after="100" w:afterAutospacing="1"/>
              <w:rPr>
                <w:rFonts w:ascii="Helvetica" w:eastAsia="Times New Roman" w:hAnsi="Helvetica" w:cs="Helvetica"/>
              </w:rPr>
            </w:pPr>
            <w:r>
              <w:rPr>
                <w:rFonts w:ascii="Helvetica" w:eastAsia="Times New Roman" w:hAnsi="Helvetica" w:cs="Helvetica"/>
              </w:rPr>
              <w:t>Anticipated Funding start date:  April 2017</w:t>
            </w:r>
            <w:r>
              <w:rPr>
                <w:rStyle w:val="Strong"/>
                <w:rFonts w:ascii="Helvetica" w:eastAsia="Times New Roman" w:hAnsi="Helvetica" w:cs="Helvetica"/>
              </w:rPr>
              <w:t> </w:t>
            </w:r>
          </w:p>
        </w:tc>
      </w:tr>
      <w:tr w:rsidR="00D71730" w:rsidTr="00D71730">
        <w:trPr>
          <w:tblCellSpacing w:w="75" w:type="dxa"/>
          <w:jc w:val="center"/>
        </w:trPr>
        <w:tc>
          <w:tcPr>
            <w:tcW w:w="0" w:type="auto"/>
            <w:tcBorders>
              <w:top w:val="nil"/>
              <w:left w:val="nil"/>
              <w:bottom w:val="nil"/>
              <w:right w:val="nil"/>
            </w:tcBorders>
            <w:shd w:val="clear" w:color="auto" w:fill="FFFFFF"/>
            <w:vAlign w:val="center"/>
            <w:hideMark/>
          </w:tcPr>
          <w:p w:rsidR="00D71730" w:rsidRDefault="00D71730">
            <w:pPr>
              <w:rPr>
                <w:rFonts w:ascii="Helvetica" w:hAnsi="Helvetica" w:cs="Helvetica"/>
                <w:i/>
                <w:iCs/>
                <w:color w:val="999999"/>
              </w:rPr>
            </w:pPr>
            <w:r>
              <w:rPr>
                <w:rFonts w:ascii="Helvetica" w:hAnsi="Helvetica" w:cs="Helvetica"/>
                <w:i/>
                <w:iCs/>
                <w:color w:val="999999"/>
              </w:rPr>
              <w:lastRenderedPageBreak/>
              <w:t>Distributed to: Vice Dean / Vice-Principal Research, Staff, Social Sciences, Research Related Policies &amp; Guidelines, Research Honours &amp; Awards, Research Funding Opportunities, Information &amp; Communications Technology, Health &amp; Life Sciences, Faculty Research Facilitator, Faculty, Departmental Research Facilitator, Departmental Business Officer, Dean / Principal, Chair / Academic Director, CAO / CFO</w:t>
            </w:r>
          </w:p>
        </w:tc>
      </w:tr>
    </w:tbl>
    <w:p w:rsidR="00855782" w:rsidRDefault="00D71730" w:rsidP="00D71730">
      <w:pPr>
        <w:tabs>
          <w:tab w:val="left" w:pos="8580"/>
        </w:tabs>
      </w:pPr>
      <w:bookmarkStart w:id="0" w:name="_GoBack"/>
      <w:bookmarkEnd w:id="0"/>
    </w:p>
    <w:sectPr w:rsidR="00855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6015D"/>
    <w:multiLevelType w:val="multilevel"/>
    <w:tmpl w:val="155A8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32B190B"/>
    <w:multiLevelType w:val="multilevel"/>
    <w:tmpl w:val="D80E3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730"/>
    <w:rsid w:val="001B64EB"/>
    <w:rsid w:val="0067051B"/>
    <w:rsid w:val="006B29A4"/>
    <w:rsid w:val="00B37BB3"/>
    <w:rsid w:val="00D717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730"/>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4">
    <w:name w:val="Style4"/>
    <w:basedOn w:val="TableWeb1"/>
    <w:uiPriority w:val="99"/>
    <w:rsid w:val="00B37BB3"/>
    <w:pPr>
      <w:spacing w:after="0"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B37BB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uiPriority w:val="99"/>
    <w:semiHidden/>
    <w:unhideWhenUsed/>
    <w:rsid w:val="00D71730"/>
    <w:rPr>
      <w:color w:val="3399CC"/>
      <w:u w:val="single"/>
    </w:rPr>
  </w:style>
  <w:style w:type="character" w:styleId="Strong">
    <w:name w:val="Strong"/>
    <w:basedOn w:val="DefaultParagraphFont"/>
    <w:uiPriority w:val="22"/>
    <w:qFormat/>
    <w:rsid w:val="00D71730"/>
    <w:rPr>
      <w:b/>
      <w:bCs/>
    </w:rPr>
  </w:style>
  <w:style w:type="paragraph" w:styleId="BalloonText">
    <w:name w:val="Balloon Text"/>
    <w:basedOn w:val="Normal"/>
    <w:link w:val="BalloonTextChar"/>
    <w:uiPriority w:val="99"/>
    <w:semiHidden/>
    <w:unhideWhenUsed/>
    <w:rsid w:val="00D71730"/>
    <w:rPr>
      <w:rFonts w:ascii="Tahoma" w:hAnsi="Tahoma" w:cs="Tahoma"/>
      <w:sz w:val="16"/>
      <w:szCs w:val="16"/>
    </w:rPr>
  </w:style>
  <w:style w:type="character" w:customStyle="1" w:styleId="BalloonTextChar">
    <w:name w:val="Balloon Text Char"/>
    <w:basedOn w:val="DefaultParagraphFont"/>
    <w:link w:val="BalloonText"/>
    <w:uiPriority w:val="99"/>
    <w:semiHidden/>
    <w:rsid w:val="00D71730"/>
    <w:rPr>
      <w:rFonts w:ascii="Tahoma" w:hAnsi="Tahoma" w:cs="Tahoma"/>
      <w:sz w:val="16"/>
      <w:szCs w:val="1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730"/>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4">
    <w:name w:val="Style4"/>
    <w:basedOn w:val="TableWeb1"/>
    <w:uiPriority w:val="99"/>
    <w:rsid w:val="00B37BB3"/>
    <w:pPr>
      <w:spacing w:after="0"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B37BB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uiPriority w:val="99"/>
    <w:semiHidden/>
    <w:unhideWhenUsed/>
    <w:rsid w:val="00D71730"/>
    <w:rPr>
      <w:color w:val="3399CC"/>
      <w:u w:val="single"/>
    </w:rPr>
  </w:style>
  <w:style w:type="character" w:styleId="Strong">
    <w:name w:val="Strong"/>
    <w:basedOn w:val="DefaultParagraphFont"/>
    <w:uiPriority w:val="22"/>
    <w:qFormat/>
    <w:rsid w:val="00D71730"/>
    <w:rPr>
      <w:b/>
      <w:bCs/>
    </w:rPr>
  </w:style>
  <w:style w:type="paragraph" w:styleId="BalloonText">
    <w:name w:val="Balloon Text"/>
    <w:basedOn w:val="Normal"/>
    <w:link w:val="BalloonTextChar"/>
    <w:uiPriority w:val="99"/>
    <w:semiHidden/>
    <w:unhideWhenUsed/>
    <w:rsid w:val="00D71730"/>
    <w:rPr>
      <w:rFonts w:ascii="Tahoma" w:hAnsi="Tahoma" w:cs="Tahoma"/>
      <w:sz w:val="16"/>
      <w:szCs w:val="16"/>
    </w:rPr>
  </w:style>
  <w:style w:type="character" w:customStyle="1" w:styleId="BalloonTextChar">
    <w:name w:val="Balloon Text Char"/>
    <w:basedOn w:val="DefaultParagraphFont"/>
    <w:link w:val="BalloonText"/>
    <w:uiPriority w:val="99"/>
    <w:semiHidden/>
    <w:rsid w:val="00D71730"/>
    <w:rPr>
      <w:rFonts w:ascii="Tahoma" w:hAnsi="Tahoma" w:cs="Tahoma"/>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47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hr.gc.ca/e/49900.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rew.gyorke@utoronto.ca?subject=RE:%20" TargetMode="External"/><Relationship Id="rId12" Type="http://schemas.openxmlformats.org/officeDocument/2006/relationships/hyperlink" Target="mailto:vp.research@utoront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pkubes@ucalgary.ca" TargetMode="External"/><Relationship Id="rId5" Type="http://schemas.openxmlformats.org/officeDocument/2006/relationships/webSettings" Target="webSettings.xml"/><Relationship Id="rId10" Type="http://schemas.openxmlformats.org/officeDocument/2006/relationships/hyperlink" Target="http://www.cihr.gc.ca/e/49902.html" TargetMode="External"/><Relationship Id="rId4" Type="http://schemas.openxmlformats.org/officeDocument/2006/relationships/settings" Target="settings.xml"/><Relationship Id="rId9" Type="http://schemas.openxmlformats.org/officeDocument/2006/relationships/hyperlink" Target="http://www.cihr.gc.ca/e/4990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cp:lastModifiedBy>Default User</cp:lastModifiedBy>
  <cp:revision>1</cp:revision>
  <dcterms:created xsi:type="dcterms:W3CDTF">2016-08-23T17:39:00Z</dcterms:created>
  <dcterms:modified xsi:type="dcterms:W3CDTF">2016-08-23T17:40:00Z</dcterms:modified>
</cp:coreProperties>
</file>